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0B" w:rsidRPr="0093100B" w:rsidRDefault="0093100B" w:rsidP="00602D99">
      <w:pPr>
        <w:autoSpaceDE w:val="0"/>
        <w:autoSpaceDN w:val="0"/>
        <w:adjustRightInd w:val="0"/>
        <w:rPr>
          <w:rFonts w:ascii="Arial" w:hAnsi="Arial" w:cs="Arial"/>
          <w:b/>
          <w:sz w:val="22"/>
          <w:szCs w:val="22"/>
        </w:rPr>
      </w:pPr>
      <w:bookmarkStart w:id="0" w:name="_GoBack"/>
      <w:bookmarkEnd w:id="0"/>
      <w:r>
        <w:rPr>
          <w:rFonts w:ascii="Arial" w:hAnsi="Arial" w:cs="Arial"/>
          <w:b/>
          <w:sz w:val="22"/>
          <w:szCs w:val="22"/>
        </w:rPr>
        <w:t>Ενημερωτικό Υλικό γ</w:t>
      </w:r>
      <w:r w:rsidRPr="0093100B">
        <w:rPr>
          <w:rFonts w:ascii="Arial" w:hAnsi="Arial" w:cs="Arial"/>
          <w:b/>
          <w:sz w:val="22"/>
          <w:szCs w:val="22"/>
        </w:rPr>
        <w:t>ια το Γλαύκωμα</w:t>
      </w:r>
    </w:p>
    <w:p w:rsidR="0093100B" w:rsidRDefault="0093100B" w:rsidP="0093100B">
      <w:pPr>
        <w:autoSpaceDE w:val="0"/>
        <w:autoSpaceDN w:val="0"/>
        <w:adjustRightInd w:val="0"/>
        <w:rPr>
          <w:rFonts w:ascii="Arial" w:hAnsi="Arial" w:cs="Arial"/>
          <w:sz w:val="22"/>
          <w:szCs w:val="22"/>
          <w:highlight w:val="yellow"/>
        </w:rPr>
      </w:pPr>
    </w:p>
    <w:p w:rsidR="0093100B" w:rsidRPr="0093100B" w:rsidRDefault="0093100B" w:rsidP="0093100B">
      <w:pPr>
        <w:autoSpaceDE w:val="0"/>
        <w:autoSpaceDN w:val="0"/>
        <w:adjustRightInd w:val="0"/>
        <w:rPr>
          <w:rFonts w:ascii="Arial" w:hAnsi="Arial" w:cs="Arial"/>
          <w:sz w:val="22"/>
          <w:szCs w:val="22"/>
        </w:rPr>
      </w:pPr>
      <w:r w:rsidRPr="0093100B">
        <w:rPr>
          <w:rFonts w:ascii="Arial" w:hAnsi="Arial" w:cs="Arial"/>
          <w:sz w:val="22"/>
          <w:szCs w:val="22"/>
        </w:rPr>
        <w:t>Είναι αξιοσημείωτο ότι λόγω της «σιωπηλής» εξέλιξης της πάθησης - τουλάχιστον στα αρχικά στάδια - μέχρι και 50% των πραγματικά πασχόντων στις αναπτυγμένες χώρες δεν γνωρίζουν ακόμα ότι έχουν γλαύκωμα και άρα δεν βρίσκονται υπό θεραπεία. Αυτός ο αριθμός μπορεί να φθάσει μέχρι το 90% στα υπό ανάπτυξη μέρη του πλανήτη.</w:t>
      </w:r>
    </w:p>
    <w:p w:rsidR="0093100B" w:rsidRPr="0093100B" w:rsidRDefault="0093100B" w:rsidP="0093100B">
      <w:pPr>
        <w:autoSpaceDE w:val="0"/>
        <w:autoSpaceDN w:val="0"/>
        <w:adjustRightInd w:val="0"/>
        <w:rPr>
          <w:rFonts w:ascii="Arial" w:hAnsi="Arial" w:cs="Arial"/>
          <w:sz w:val="22"/>
          <w:szCs w:val="22"/>
        </w:rPr>
      </w:pPr>
      <w:r w:rsidRPr="0093100B">
        <w:rPr>
          <w:rFonts w:ascii="Arial" w:hAnsi="Arial" w:cs="Arial"/>
          <w:sz w:val="22"/>
          <w:szCs w:val="22"/>
        </w:rPr>
        <w:t xml:space="preserve">Στην Ελλάδα η επίπτωση του Γλαυκώματος υπολογίζεται στο 2% του γενικού πληθυσμού, αλλά το ποσοστό αυτό αυξάνει σημαντικά με την πάροδο της ηλικίας. Περίπου 200.000 με 250.000 άτομα έχουν Γλαύκωμα αλλά ένα μέρος από αυτούς δεν είναι διαγνωσμένοι.  </w:t>
      </w:r>
    </w:p>
    <w:p w:rsidR="0093100B" w:rsidRPr="0093100B" w:rsidRDefault="0093100B" w:rsidP="0093100B">
      <w:pPr>
        <w:autoSpaceDE w:val="0"/>
        <w:autoSpaceDN w:val="0"/>
        <w:adjustRightInd w:val="0"/>
        <w:rPr>
          <w:rFonts w:ascii="Arial" w:hAnsi="Arial" w:cs="Arial"/>
          <w:sz w:val="22"/>
          <w:szCs w:val="22"/>
        </w:rPr>
      </w:pPr>
    </w:p>
    <w:p w:rsidR="0093100B" w:rsidRPr="0093100B" w:rsidRDefault="0093100B" w:rsidP="0093100B">
      <w:pPr>
        <w:autoSpaceDE w:val="0"/>
        <w:autoSpaceDN w:val="0"/>
        <w:adjustRightInd w:val="0"/>
        <w:jc w:val="center"/>
        <w:rPr>
          <w:rFonts w:ascii="Arial" w:hAnsi="Arial" w:cs="Arial"/>
          <w:sz w:val="22"/>
          <w:szCs w:val="22"/>
        </w:rPr>
      </w:pPr>
      <w:r w:rsidRPr="0093100B">
        <w:rPr>
          <w:rFonts w:ascii="Arial" w:hAnsi="Arial" w:cs="Arial"/>
          <w:noProof/>
          <w:sz w:val="22"/>
          <w:szCs w:val="22"/>
          <w:lang w:eastAsia="el-GR"/>
        </w:rPr>
        <w:drawing>
          <wp:inline distT="0" distB="0" distL="0" distR="0">
            <wp:extent cx="4095750" cy="2790825"/>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3100B" w:rsidRPr="0093100B" w:rsidRDefault="0093100B" w:rsidP="0093100B">
      <w:pPr>
        <w:autoSpaceDE w:val="0"/>
        <w:autoSpaceDN w:val="0"/>
        <w:adjustRightInd w:val="0"/>
        <w:rPr>
          <w:rFonts w:ascii="Arial" w:hAnsi="Arial" w:cs="Arial"/>
          <w:sz w:val="22"/>
          <w:szCs w:val="22"/>
        </w:rPr>
      </w:pPr>
    </w:p>
    <w:p w:rsidR="0093100B" w:rsidRPr="0093100B" w:rsidRDefault="0093100B" w:rsidP="0093100B">
      <w:pPr>
        <w:autoSpaceDE w:val="0"/>
        <w:autoSpaceDN w:val="0"/>
        <w:adjustRightInd w:val="0"/>
        <w:rPr>
          <w:rFonts w:ascii="Arial" w:hAnsi="Arial" w:cs="Arial"/>
          <w:sz w:val="22"/>
          <w:szCs w:val="22"/>
        </w:rPr>
      </w:pPr>
    </w:p>
    <w:p w:rsidR="0093100B" w:rsidRPr="0093100B" w:rsidRDefault="0093100B" w:rsidP="0093100B">
      <w:pPr>
        <w:autoSpaceDE w:val="0"/>
        <w:autoSpaceDN w:val="0"/>
        <w:adjustRightInd w:val="0"/>
        <w:rPr>
          <w:rFonts w:ascii="Arial" w:hAnsi="Arial" w:cs="Arial"/>
          <w:sz w:val="22"/>
          <w:szCs w:val="22"/>
        </w:rPr>
      </w:pPr>
    </w:p>
    <w:p w:rsidR="0093100B" w:rsidRPr="003C252C" w:rsidRDefault="0093100B" w:rsidP="0093100B">
      <w:pPr>
        <w:autoSpaceDE w:val="0"/>
        <w:autoSpaceDN w:val="0"/>
        <w:adjustRightInd w:val="0"/>
        <w:rPr>
          <w:rFonts w:ascii="Arial" w:hAnsi="Arial" w:cs="Arial"/>
          <w:sz w:val="22"/>
          <w:szCs w:val="22"/>
        </w:rPr>
      </w:pPr>
      <w:r w:rsidRPr="0093100B">
        <w:rPr>
          <w:rFonts w:ascii="Arial" w:hAnsi="Arial" w:cs="Arial"/>
          <w:sz w:val="22"/>
          <w:szCs w:val="22"/>
        </w:rPr>
        <w:t>Από μία έρευνα που έγινε πρόσφατα σε ένα δείγμα 917 συμμετεχόντων, βρέθηκε ότι 1 στους 5 Έλληνες δεν έχει επισκεφθεί ποτέ στη ζωή του Οφθαλμίατρο, ενώ 2 στους 5 Έλληνες (42%) δεν έχουν μετρήσει ποτέ την πίεση των ματιών τους. Επίσης σε άτομα ηλικίας άνω των 55 ετών όπου το Γλαύκωμα είναι συχνότερο, μόνο οι μισοί (51%) επισκέπτονται τακτικά τον οφθαλμίατρό τους, ενώ περίπου 15% δεν έχουν μετρήσει ποτέ την πίεση των ματιών τους. Πάνω από τους μισούς Έλληνες (54%) είχαν ακούσει για το Γλαύκωμα, μια λέξη Ελληνική που προέρχεται από το αρχαίο «γλαυκός» που σημαίνει κυανόλευκος και κατά τον Αριστοτέλη αποδίδει το χρώμα που παίρνει το μάτι των πασχόντων στο τελικό στάδιο (απόλυτο Γλαύκωμα).</w:t>
      </w:r>
      <w:r w:rsidRPr="003C252C">
        <w:rPr>
          <w:rFonts w:ascii="Arial" w:hAnsi="Arial" w:cs="Arial"/>
          <w:sz w:val="22"/>
          <w:szCs w:val="22"/>
        </w:rPr>
        <w:t xml:space="preserve"> </w:t>
      </w:r>
    </w:p>
    <w:p w:rsidR="0093100B" w:rsidRPr="0093100B" w:rsidRDefault="0093100B" w:rsidP="00FF1EDE">
      <w:pPr>
        <w:ind w:left="360"/>
      </w:pPr>
    </w:p>
    <w:sectPr w:rsidR="0093100B" w:rsidRPr="0093100B" w:rsidSect="00A55B21">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56DAE"/>
    <w:multiLevelType w:val="hybridMultilevel"/>
    <w:tmpl w:val="09A6A7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C515FEE"/>
    <w:multiLevelType w:val="hybridMultilevel"/>
    <w:tmpl w:val="2C8A1742"/>
    <w:lvl w:ilvl="0" w:tplc="BB44B38E">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FBC5DE9"/>
    <w:multiLevelType w:val="hybridMultilevel"/>
    <w:tmpl w:val="A1CA6464"/>
    <w:lvl w:ilvl="0" w:tplc="AB6027EE">
      <w:start w:val="1"/>
      <w:numFmt w:val="bullet"/>
      <w:lvlText w:val=""/>
      <w:lvlJc w:val="left"/>
      <w:pPr>
        <w:tabs>
          <w:tab w:val="num" w:pos="720"/>
        </w:tabs>
        <w:ind w:left="720" w:hanging="360"/>
      </w:pPr>
      <w:rPr>
        <w:rFonts w:ascii="Wingdings 2" w:hAnsi="Wingdings 2" w:hint="default"/>
      </w:rPr>
    </w:lvl>
    <w:lvl w:ilvl="1" w:tplc="60E82B52">
      <w:start w:val="1503"/>
      <w:numFmt w:val="bullet"/>
      <w:lvlText w:val=""/>
      <w:lvlJc w:val="left"/>
      <w:pPr>
        <w:tabs>
          <w:tab w:val="num" w:pos="1440"/>
        </w:tabs>
        <w:ind w:left="1440" w:hanging="360"/>
      </w:pPr>
      <w:rPr>
        <w:rFonts w:ascii="Wingdings" w:hAnsi="Wingdings" w:hint="default"/>
      </w:rPr>
    </w:lvl>
    <w:lvl w:ilvl="2" w:tplc="6D1427EE">
      <w:start w:val="1503"/>
      <w:numFmt w:val="bullet"/>
      <w:lvlText w:val=""/>
      <w:lvlJc w:val="left"/>
      <w:pPr>
        <w:tabs>
          <w:tab w:val="num" w:pos="2160"/>
        </w:tabs>
        <w:ind w:left="2160" w:hanging="360"/>
      </w:pPr>
      <w:rPr>
        <w:rFonts w:ascii="Wingdings 2" w:hAnsi="Wingdings 2" w:hint="default"/>
      </w:rPr>
    </w:lvl>
    <w:lvl w:ilvl="3" w:tplc="389661F0">
      <w:start w:val="1"/>
      <w:numFmt w:val="decimal"/>
      <w:lvlText w:val="%4."/>
      <w:lvlJc w:val="left"/>
      <w:pPr>
        <w:tabs>
          <w:tab w:val="num" w:pos="2880"/>
        </w:tabs>
        <w:ind w:left="2880" w:hanging="360"/>
      </w:pPr>
    </w:lvl>
    <w:lvl w:ilvl="4" w:tplc="C5BA029C">
      <w:start w:val="1"/>
      <w:numFmt w:val="decimal"/>
      <w:lvlText w:val="%5."/>
      <w:lvlJc w:val="left"/>
      <w:pPr>
        <w:tabs>
          <w:tab w:val="num" w:pos="3600"/>
        </w:tabs>
        <w:ind w:left="3600" w:hanging="360"/>
      </w:pPr>
    </w:lvl>
    <w:lvl w:ilvl="5" w:tplc="89F60D4A">
      <w:start w:val="1"/>
      <w:numFmt w:val="decimal"/>
      <w:lvlText w:val="%6."/>
      <w:lvlJc w:val="left"/>
      <w:pPr>
        <w:tabs>
          <w:tab w:val="num" w:pos="4320"/>
        </w:tabs>
        <w:ind w:left="4320" w:hanging="360"/>
      </w:pPr>
    </w:lvl>
    <w:lvl w:ilvl="6" w:tplc="10A4C6D4">
      <w:start w:val="1"/>
      <w:numFmt w:val="decimal"/>
      <w:lvlText w:val="%7."/>
      <w:lvlJc w:val="left"/>
      <w:pPr>
        <w:tabs>
          <w:tab w:val="num" w:pos="5040"/>
        </w:tabs>
        <w:ind w:left="5040" w:hanging="360"/>
      </w:pPr>
    </w:lvl>
    <w:lvl w:ilvl="7" w:tplc="331C4922">
      <w:start w:val="1"/>
      <w:numFmt w:val="decimal"/>
      <w:lvlText w:val="%8."/>
      <w:lvlJc w:val="left"/>
      <w:pPr>
        <w:tabs>
          <w:tab w:val="num" w:pos="5760"/>
        </w:tabs>
        <w:ind w:left="5760" w:hanging="360"/>
      </w:pPr>
    </w:lvl>
    <w:lvl w:ilvl="8" w:tplc="252202C0">
      <w:start w:val="1"/>
      <w:numFmt w:val="decimal"/>
      <w:lvlText w:val="%9."/>
      <w:lvlJc w:val="left"/>
      <w:pPr>
        <w:tabs>
          <w:tab w:val="num" w:pos="6480"/>
        </w:tabs>
        <w:ind w:left="6480" w:hanging="360"/>
      </w:pPr>
    </w:lvl>
  </w:abstractNum>
  <w:abstractNum w:abstractNumId="3">
    <w:nsid w:val="68F307E7"/>
    <w:multiLevelType w:val="hybridMultilevel"/>
    <w:tmpl w:val="A3BE2E0C"/>
    <w:lvl w:ilvl="0" w:tplc="04080001">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4B5"/>
    <w:rsid w:val="000201FC"/>
    <w:rsid w:val="000634A5"/>
    <w:rsid w:val="00085F9C"/>
    <w:rsid w:val="00090FEE"/>
    <w:rsid w:val="00110568"/>
    <w:rsid w:val="001D5858"/>
    <w:rsid w:val="00202808"/>
    <w:rsid w:val="002207AF"/>
    <w:rsid w:val="00224D1B"/>
    <w:rsid w:val="00263442"/>
    <w:rsid w:val="00336EBC"/>
    <w:rsid w:val="003C252C"/>
    <w:rsid w:val="00403AA8"/>
    <w:rsid w:val="004A79FE"/>
    <w:rsid w:val="00502FB7"/>
    <w:rsid w:val="00523D29"/>
    <w:rsid w:val="005331D0"/>
    <w:rsid w:val="00543B25"/>
    <w:rsid w:val="00602D99"/>
    <w:rsid w:val="006833F8"/>
    <w:rsid w:val="006A778D"/>
    <w:rsid w:val="006D2FC0"/>
    <w:rsid w:val="006E7936"/>
    <w:rsid w:val="007663CC"/>
    <w:rsid w:val="008941B7"/>
    <w:rsid w:val="0093100B"/>
    <w:rsid w:val="00A55B21"/>
    <w:rsid w:val="00AE05FB"/>
    <w:rsid w:val="00AE2DA3"/>
    <w:rsid w:val="00AF6D41"/>
    <w:rsid w:val="00B2032E"/>
    <w:rsid w:val="00B33A94"/>
    <w:rsid w:val="00B33B1B"/>
    <w:rsid w:val="00C03750"/>
    <w:rsid w:val="00C62EF8"/>
    <w:rsid w:val="00CF2D8D"/>
    <w:rsid w:val="00D354B5"/>
    <w:rsid w:val="00F56879"/>
    <w:rsid w:val="00F62FD6"/>
    <w:rsid w:val="00F8701D"/>
    <w:rsid w:val="00FF1E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B5"/>
    <w:pPr>
      <w:spacing w:after="0" w:line="36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54B5"/>
    <w:pPr>
      <w:spacing w:before="100" w:beforeAutospacing="1" w:after="100" w:afterAutospacing="1"/>
    </w:pPr>
  </w:style>
  <w:style w:type="paragraph" w:customStyle="1" w:styleId="Web1">
    <w:name w:val="Κανονικό (Web)1"/>
    <w:basedOn w:val="Normal"/>
    <w:rsid w:val="00D354B5"/>
    <w:pPr>
      <w:spacing w:line="240" w:lineRule="auto"/>
      <w:jc w:val="left"/>
    </w:pPr>
    <w:rPr>
      <w:rFonts w:eastAsia="Times New Roman"/>
      <w:lang w:eastAsia="el-GR"/>
    </w:rPr>
  </w:style>
  <w:style w:type="character" w:styleId="Hyperlink">
    <w:name w:val="Hyperlink"/>
    <w:uiPriority w:val="99"/>
    <w:semiHidden/>
    <w:unhideWhenUsed/>
    <w:rsid w:val="00403AA8"/>
    <w:rPr>
      <w:color w:val="0000FF"/>
      <w:u w:val="single"/>
    </w:rPr>
  </w:style>
  <w:style w:type="paragraph" w:customStyle="1" w:styleId="1">
    <w:name w:val="Παράγραφος λίστας1"/>
    <w:basedOn w:val="Normal"/>
    <w:rsid w:val="00403AA8"/>
    <w:pPr>
      <w:spacing w:after="200" w:line="276" w:lineRule="auto"/>
      <w:ind w:left="720"/>
      <w:jc w:val="left"/>
    </w:pPr>
    <w:rPr>
      <w:rFonts w:ascii="Calibri" w:eastAsia="Times New Roman" w:hAnsi="Calibri"/>
      <w:sz w:val="22"/>
      <w:szCs w:val="22"/>
      <w:lang w:val="en-GB"/>
    </w:rPr>
  </w:style>
  <w:style w:type="paragraph" w:styleId="BalloonText">
    <w:name w:val="Balloon Text"/>
    <w:basedOn w:val="Normal"/>
    <w:link w:val="BalloonTextChar"/>
    <w:uiPriority w:val="99"/>
    <w:semiHidden/>
    <w:unhideWhenUsed/>
    <w:rsid w:val="00A55B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B21"/>
    <w:rPr>
      <w:rFonts w:ascii="Tahoma" w:eastAsia="Calibri" w:hAnsi="Tahoma" w:cs="Tahoma"/>
      <w:sz w:val="16"/>
      <w:szCs w:val="16"/>
    </w:rPr>
  </w:style>
  <w:style w:type="paragraph" w:styleId="ListParagraph">
    <w:name w:val="List Paragraph"/>
    <w:basedOn w:val="Normal"/>
    <w:uiPriority w:val="34"/>
    <w:qFormat/>
    <w:rsid w:val="00502F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B5"/>
    <w:pPr>
      <w:spacing w:after="0" w:line="36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354B5"/>
    <w:pPr>
      <w:spacing w:before="100" w:beforeAutospacing="1" w:after="100" w:afterAutospacing="1"/>
    </w:pPr>
  </w:style>
  <w:style w:type="paragraph" w:customStyle="1" w:styleId="Web1">
    <w:name w:val="Κανονικό (Web)1"/>
    <w:basedOn w:val="a"/>
    <w:rsid w:val="00D354B5"/>
    <w:pPr>
      <w:spacing w:line="240" w:lineRule="auto"/>
      <w:jc w:val="left"/>
    </w:pPr>
    <w:rPr>
      <w:rFonts w:eastAsia="Times New Roman"/>
      <w:lang w:eastAsia="el-GR"/>
    </w:rPr>
  </w:style>
  <w:style w:type="character" w:styleId="-">
    <w:name w:val="Hyperlink"/>
    <w:uiPriority w:val="99"/>
    <w:semiHidden/>
    <w:unhideWhenUsed/>
    <w:rsid w:val="00403AA8"/>
    <w:rPr>
      <w:color w:val="0000FF"/>
      <w:u w:val="single"/>
    </w:rPr>
  </w:style>
  <w:style w:type="paragraph" w:customStyle="1" w:styleId="1">
    <w:name w:val="Παράγραφος λίστας1"/>
    <w:basedOn w:val="a"/>
    <w:rsid w:val="00403AA8"/>
    <w:pPr>
      <w:spacing w:after="200" w:line="276" w:lineRule="auto"/>
      <w:ind w:left="720"/>
      <w:jc w:val="left"/>
    </w:pPr>
    <w:rPr>
      <w:rFonts w:ascii="Calibri" w:eastAsia="Times New Roman" w:hAnsi="Calibri"/>
      <w:sz w:val="22"/>
      <w:szCs w:val="22"/>
      <w:lang w:val="en-GB"/>
    </w:rPr>
  </w:style>
  <w:style w:type="paragraph" w:styleId="a3">
    <w:name w:val="Balloon Text"/>
    <w:basedOn w:val="a"/>
    <w:link w:val="Char"/>
    <w:uiPriority w:val="99"/>
    <w:semiHidden/>
    <w:unhideWhenUsed/>
    <w:rsid w:val="00A55B21"/>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55B2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4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manualLayout>
          <c:layoutTarget val="inner"/>
          <c:xMode val="edge"/>
          <c:yMode val="edge"/>
          <c:x val="6.4285714285714321E-2"/>
          <c:y val="9.893992932862232E-2"/>
          <c:w val="0.54285714285714259"/>
          <c:h val="0.80565371024734977"/>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3399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Pt>
            <c:idx val="6"/>
            <c:spPr>
              <a:solidFill>
                <a:srgbClr val="0066CC"/>
              </a:solidFill>
              <a:ln w="12700">
                <a:solidFill>
                  <a:srgbClr val="000000"/>
                </a:solidFill>
                <a:prstDash val="solid"/>
              </a:ln>
            </c:spPr>
          </c:dPt>
          <c:dPt>
            <c:idx val="7"/>
            <c:spPr>
              <a:solidFill>
                <a:srgbClr val="C0C0C0"/>
              </a:solidFill>
              <a:ln w="12700">
                <a:solidFill>
                  <a:srgbClr val="000000"/>
                </a:solidFill>
                <a:prstDash val="solid"/>
              </a:ln>
            </c:spPr>
          </c:dPt>
          <c:dLbls>
            <c:dLbl>
              <c:idx val="0"/>
              <c:layout>
                <c:manualLayout>
                  <c:x val="-0.15663426374028841"/>
                  <c:y val="-3.0060654012695788E-2"/>
                </c:manualLayout>
              </c:layout>
              <c:dLblPos val="bestFit"/>
              <c:showVal val="1"/>
            </c:dLbl>
            <c:dLbl>
              <c:idx val="1"/>
              <c:layout>
                <c:manualLayout>
                  <c:x val="5.8020683461079026E-2"/>
                  <c:y val="-0.15423204361059592"/>
                </c:manualLayout>
              </c:layout>
              <c:tx>
                <c:rich>
                  <a:bodyPr/>
                  <a:lstStyle/>
                  <a:p>
                    <a:pPr>
                      <a:defRPr sz="800" b="1" i="0" u="none" strike="noStrike" baseline="0">
                        <a:solidFill>
                          <a:srgbClr val="000000"/>
                        </a:solidFill>
                        <a:latin typeface="Arial"/>
                        <a:ea typeface="Arial"/>
                        <a:cs typeface="Arial"/>
                      </a:defRPr>
                    </a:pPr>
                    <a:r>
                      <a:rPr lang="el-GR"/>
                      <a:t>12,3</a:t>
                    </a:r>
                  </a:p>
                </c:rich>
              </c:tx>
              <c:spPr>
                <a:noFill/>
                <a:ln w="25399">
                  <a:noFill/>
                </a:ln>
              </c:spPr>
              <c:dLblPos val="bestFit"/>
            </c:dLbl>
            <c:dLbl>
              <c:idx val="2"/>
              <c:layout>
                <c:manualLayout>
                  <c:x val="9.511256441781997E-2"/>
                  <c:y val="-8.2776888263248041E-2"/>
                </c:manualLayout>
              </c:layout>
              <c:dLblPos val="bestFit"/>
              <c:showVal val="1"/>
            </c:dLbl>
            <c:dLbl>
              <c:idx val="3"/>
              <c:layout>
                <c:manualLayout>
                  <c:x val="6.9475274892964109E-2"/>
                  <c:y val="-3.757132367643734E-2"/>
                </c:manualLayout>
              </c:layout>
              <c:dLblPos val="bestFit"/>
              <c:showVal val="1"/>
            </c:dLbl>
            <c:dLbl>
              <c:idx val="4"/>
              <c:layout>
                <c:manualLayout>
                  <c:x val="8.3333333333333551E-2"/>
                  <c:y val="-3.3175100932543626E-3"/>
                </c:manualLayout>
              </c:layout>
              <c:numFmt formatCode="0.0" sourceLinked="0"/>
              <c:spPr>
                <a:noFill/>
                <a:ln w="25399">
                  <a:noFill/>
                </a:ln>
              </c:spPr>
              <c:txPr>
                <a:bodyPr/>
                <a:lstStyle/>
                <a:p>
                  <a:pPr>
                    <a:defRPr sz="800" b="1" i="0" u="none" strike="noStrike" baseline="0">
                      <a:solidFill>
                        <a:srgbClr val="FFFFFF"/>
                      </a:solidFill>
                      <a:latin typeface="Arial"/>
                      <a:ea typeface="Arial"/>
                      <a:cs typeface="Arial"/>
                    </a:defRPr>
                  </a:pPr>
                  <a:endParaRPr lang="el-GR"/>
                </a:p>
              </c:txPr>
              <c:dLblPos val="bestFit"/>
              <c:showVal val="1"/>
            </c:dLbl>
            <c:dLbl>
              <c:idx val="5"/>
              <c:layout>
                <c:manualLayout>
                  <c:x val="7.5825393918783554E-2"/>
                  <c:y val="2.3021696631557738E-2"/>
                </c:manualLayout>
              </c:layout>
              <c:dLblPos val="bestFit"/>
              <c:showVal val="1"/>
            </c:dLbl>
            <c:dLbl>
              <c:idx val="6"/>
              <c:layout>
                <c:manualLayout>
                  <c:x val="6.9102048290475393E-2"/>
                  <c:y val="5.443667109719947E-2"/>
                </c:manualLayout>
              </c:layout>
              <c:dLblPos val="bestFit"/>
              <c:showVal val="1"/>
            </c:dLbl>
            <c:dLbl>
              <c:idx val="7"/>
              <c:layout>
                <c:manualLayout>
                  <c:x val="9.9287728568812933E-2"/>
                  <c:y val="0.19116152407407416"/>
                </c:manualLayout>
              </c:layout>
              <c:dLblPos val="bestFit"/>
              <c:showVal val="1"/>
            </c:dLbl>
            <c:numFmt formatCode="0.0" sourceLinked="0"/>
            <c:spPr>
              <a:noFill/>
              <a:ln w="25399">
                <a:noFill/>
              </a:ln>
            </c:spPr>
            <c:txPr>
              <a:bodyPr/>
              <a:lstStyle/>
              <a:p>
                <a:pPr>
                  <a:defRPr sz="800" b="1" i="0" u="none" strike="noStrike" baseline="0">
                    <a:solidFill>
                      <a:srgbClr val="000000"/>
                    </a:solidFill>
                    <a:latin typeface="Arial"/>
                    <a:ea typeface="Arial"/>
                    <a:cs typeface="Arial"/>
                  </a:defRPr>
                </a:pPr>
                <a:endParaRPr lang="el-GR"/>
              </a:p>
            </c:txPr>
            <c:showVal val="1"/>
            <c:showLeaderLines val="1"/>
          </c:dLbls>
          <c:cat>
            <c:strRef>
              <c:f>Sheet1!$B$1:$I$1</c:f>
              <c:strCache>
                <c:ptCount val="8"/>
                <c:pt idx="0">
                  <c:v>Καταρράκτης</c:v>
                </c:pt>
                <c:pt idx="1">
                  <c:v>Γλαύκωμα</c:v>
                </c:pt>
                <c:pt idx="2">
                  <c:v>Εκφύλιση ωχράς</c:v>
                </c:pt>
                <c:pt idx="3">
                  <c:v>Θόλωση κερατοειδή</c:v>
                </c:pt>
                <c:pt idx="4">
                  <c:v>Διαβητική αμφ/πάθεια</c:v>
                </c:pt>
                <c:pt idx="5">
                  <c:v>Παιδική τύφλωση</c:v>
                </c:pt>
                <c:pt idx="6">
                  <c:v>Τράχωμα</c:v>
                </c:pt>
                <c:pt idx="7">
                  <c:v>Λοιπά</c:v>
                </c:pt>
              </c:strCache>
            </c:strRef>
          </c:cat>
          <c:val>
            <c:numRef>
              <c:f>Sheet1!$B$2:$I$2</c:f>
              <c:numCache>
                <c:formatCode>General</c:formatCode>
                <c:ptCount val="8"/>
                <c:pt idx="0">
                  <c:v>47.8</c:v>
                </c:pt>
                <c:pt idx="1">
                  <c:v>12.3</c:v>
                </c:pt>
                <c:pt idx="2">
                  <c:v>8.7000000000000011</c:v>
                </c:pt>
                <c:pt idx="3">
                  <c:v>5.0999999999999996</c:v>
                </c:pt>
                <c:pt idx="4">
                  <c:v>4.8</c:v>
                </c:pt>
                <c:pt idx="5">
                  <c:v>3.9</c:v>
                </c:pt>
                <c:pt idx="6">
                  <c:v>3.6</c:v>
                </c:pt>
                <c:pt idx="7">
                  <c:v>13.8</c:v>
                </c:pt>
              </c:numCache>
            </c:numRef>
          </c:val>
        </c:ser>
        <c:firstSliceAng val="0"/>
      </c:pieChart>
      <c:spPr>
        <a:noFill/>
        <a:ln w="25399">
          <a:noFill/>
        </a:ln>
      </c:spPr>
    </c:plotArea>
    <c:legend>
      <c:legendPos val="r"/>
      <c:layout>
        <c:manualLayout>
          <c:xMode val="edge"/>
          <c:yMode val="edge"/>
          <c:x val="0.66904761904762045"/>
          <c:y val="0.22968197879858615"/>
          <c:w val="0.32380952380952494"/>
          <c:h val="0.54063604240282681"/>
        </c:manualLayout>
      </c:layout>
      <c:spPr>
        <a:noFill/>
        <a:ln w="25399">
          <a:noFill/>
        </a:ln>
      </c:spPr>
      <c:txPr>
        <a:bodyPr/>
        <a:lstStyle/>
        <a:p>
          <a:pPr>
            <a:defRPr sz="735" b="1" i="0" u="none" strike="noStrike" baseline="0">
              <a:solidFill>
                <a:srgbClr val="000000"/>
              </a:solidFill>
              <a:latin typeface="Arial"/>
              <a:ea typeface="Arial"/>
              <a:cs typeface="Arial"/>
            </a:defRPr>
          </a:pPr>
          <a:endParaRPr lang="el-GR"/>
        </a:p>
      </c:txPr>
    </c:legend>
    <c:plotVisOnly val="1"/>
    <c:dispBlanksAs val="zero"/>
  </c:chart>
  <c:spPr>
    <a:noFill/>
    <a:ln w="6350"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l-GR"/>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1099</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PeggyNbk</dc:creator>
  <cp:lastModifiedBy>evi</cp:lastModifiedBy>
  <cp:revision>2</cp:revision>
  <dcterms:created xsi:type="dcterms:W3CDTF">2012-10-10T12:36:00Z</dcterms:created>
  <dcterms:modified xsi:type="dcterms:W3CDTF">2012-10-10T12:36:00Z</dcterms:modified>
</cp:coreProperties>
</file>